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1F48" w14:textId="77777777" w:rsidR="00CC4879" w:rsidRDefault="00CC4879" w:rsidP="00CC4879">
      <w:pPr>
        <w:spacing w:before="135" w:after="180" w:line="240" w:lineRule="auto"/>
        <w:outlineLvl w:val="0"/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>Новий</w:t>
      </w:r>
      <w:proofErr w:type="spellEnd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 xml:space="preserve"> порядок </w:t>
      </w:r>
      <w:proofErr w:type="spellStart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>техінвентаризації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 xml:space="preserve"> – </w:t>
      </w:r>
      <w:proofErr w:type="spellStart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>черговий</w:t>
      </w:r>
      <w:proofErr w:type="spellEnd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 xml:space="preserve"> крок до </w:t>
      </w:r>
      <w:proofErr w:type="spellStart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>цифровізації</w:t>
      </w:r>
      <w:proofErr w:type="spellEnd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ru-UA" w:eastAsia="ru-UA"/>
        </w:rPr>
        <w:t>будівництва</w:t>
      </w:r>
      <w:proofErr w:type="spellEnd"/>
    </w:p>
    <w:p w14:paraId="7AF4BE82" w14:textId="0C3928F5" w:rsidR="00CC4879" w:rsidRDefault="00CC4879" w:rsidP="00CC4879">
      <w:pPr>
        <w:spacing w:before="135" w:after="180" w:line="240" w:lineRule="auto"/>
        <w:outlineLvl w:val="0"/>
        <w:rPr>
          <w:rFonts w:ascii="Gotham Pro" w:eastAsia="Times New Roman" w:hAnsi="Gotham Pro" w:cs="Gotham Pro"/>
          <w:color w:val="2E2E2E"/>
          <w:kern w:val="36"/>
          <w:sz w:val="36"/>
          <w:szCs w:val="36"/>
          <w:lang w:val="en-US" w:eastAsia="ru-UA"/>
        </w:rPr>
      </w:pPr>
    </w:p>
    <w:p w14:paraId="5CA89121" w14:textId="7DF0E229" w:rsidR="001C061D" w:rsidRPr="001C061D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</w:pPr>
      <w:r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>Чому новий порядок технічної інвентаризації</w:t>
      </w:r>
      <w:r w:rsidR="001C061D"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 xml:space="preserve"> нерухомого майна</w:t>
      </w:r>
      <w:r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 xml:space="preserve">, затверджений </w:t>
      </w:r>
      <w:r w:rsidR="001C061D"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 xml:space="preserve">цього року,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суттєво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зменшує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можливість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«ручного»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втручання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махінацій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ринку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України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Це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ще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один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важливий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крок до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повної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цифровізації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будівельних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процесів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яка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розпочалась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ще</w:t>
      </w:r>
      <w:proofErr w:type="spellEnd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2020 </w:t>
      </w:r>
      <w:proofErr w:type="spellStart"/>
      <w:r w:rsidR="001C061D"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році</w:t>
      </w:r>
      <w:proofErr w:type="spellEnd"/>
      <w:r w:rsidR="001C061D"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 xml:space="preserve">, впевнений в.о. керівника практики будівництва і капітальних інвестицій </w:t>
      </w:r>
      <w:r w:rsidR="001C061D" w:rsidRPr="001C061D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TOTUM LF </w:t>
      </w:r>
      <w:r w:rsidR="001C061D"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 xml:space="preserve">Олександр </w:t>
      </w:r>
      <w:proofErr w:type="spellStart"/>
      <w:r w:rsidR="001C061D"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>Дерека</w:t>
      </w:r>
      <w:proofErr w:type="spellEnd"/>
      <w:r w:rsidR="001C061D"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 xml:space="preserve">. Своїми думками про нововведення він поділився із виданням </w:t>
      </w:r>
      <w:r w:rsidR="001C061D">
        <w:rPr>
          <w:rFonts w:ascii="Gotham Pro" w:eastAsia="Times New Roman" w:hAnsi="Gotham Pro" w:cs="Gotham Pro"/>
          <w:color w:val="2E2E2E"/>
          <w:sz w:val="26"/>
          <w:szCs w:val="26"/>
          <w:lang w:val="en-US" w:eastAsia="ru-UA"/>
        </w:rPr>
        <w:t>Property</w:t>
      </w:r>
      <w:r w:rsidR="001C061D" w:rsidRPr="001C061D"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 xml:space="preserve"> </w:t>
      </w:r>
      <w:r w:rsidR="001C061D">
        <w:rPr>
          <w:rFonts w:ascii="Gotham Pro" w:eastAsia="Times New Roman" w:hAnsi="Gotham Pro" w:cs="Gotham Pro"/>
          <w:color w:val="2E2E2E"/>
          <w:sz w:val="26"/>
          <w:szCs w:val="26"/>
          <w:lang w:val="en-US" w:eastAsia="ru-UA"/>
        </w:rPr>
        <w:t>Times</w:t>
      </w:r>
      <w:r w:rsidR="001C061D" w:rsidRPr="001C061D">
        <w:rPr>
          <w:rFonts w:ascii="Gotham Pro" w:eastAsia="Times New Roman" w:hAnsi="Gotham Pro" w:cs="Gotham Pro"/>
          <w:color w:val="2E2E2E"/>
          <w:sz w:val="26"/>
          <w:szCs w:val="26"/>
          <w:lang w:eastAsia="ru-UA"/>
        </w:rPr>
        <w:t xml:space="preserve">. </w:t>
      </w:r>
    </w:p>
    <w:p w14:paraId="3FCAA066" w14:textId="029402A5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травні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цього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року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Кабінет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Міністрів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України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прийняв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Постанову № 488 «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Деякі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питання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», яка затвердила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новий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Порядок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майна.</w:t>
      </w:r>
    </w:p>
    <w:p w14:paraId="5B78406B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Нагадаю,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прийняття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цього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порядку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діяла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«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Інструкція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про порядок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об'єктів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майна»,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затверджена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Наказом Державного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комітету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архітектури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житлової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політики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України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24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травня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2001 року № 127.</w:t>
      </w:r>
    </w:p>
    <w:p w14:paraId="2F4C4122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Положення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нового Порядку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суттєво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зменшує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можливість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«ручного»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втручання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махінацій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ринку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України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один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важливий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крок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повної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цифровізації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процесів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яка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розпочалась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2020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році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Слід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зазначити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сама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цифровізація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впроваджується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досить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повільно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,  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із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певними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технічними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труднощами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системи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Тим не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менш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зрушення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є, вони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необхідні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правильні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і, на думку автора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статті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є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єдиним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шляхом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сфери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України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 «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тіні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корупції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» в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вона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стоїть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обома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ногами.</w:t>
      </w:r>
    </w:p>
    <w:p w14:paraId="1B6B7D49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Прийняття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нового Порядку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тісно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пов’язане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із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значними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змінами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стались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будівельному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законодавстві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України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—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прийняття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закону №2518-ІХ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нормативної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бази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нього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а також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цифровізацією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процесів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завдяки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створенню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Єдиної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Державної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електронної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систем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сфері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(ЄДЕССБ).</w:t>
      </w:r>
    </w:p>
    <w:p w14:paraId="05B21B63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Таким чином, у нас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з’являється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новий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елемент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—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має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бути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присвоєний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всім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 </w:t>
      </w:r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(з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відгуків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клієнтів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і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знайомих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з ринку, на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сьогодні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саме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присвоєння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lastRenderedPageBreak/>
        <w:t>ідентифікатора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викликає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найбільше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проблем через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збої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в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системі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фахівців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з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. Але,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впевнений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такі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недоліки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з часом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будуть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подолані</w:t>
      </w:r>
      <w:proofErr w:type="spellEnd"/>
      <w:r w:rsidRPr="00CC4879">
        <w:rPr>
          <w:rFonts w:ascii="Gotham Pro" w:eastAsia="Times New Roman" w:hAnsi="Gotham Pro" w:cs="Gotham Pro"/>
          <w:i/>
          <w:iCs/>
          <w:color w:val="2E2E2E"/>
          <w:sz w:val="26"/>
          <w:szCs w:val="26"/>
          <w:lang w:val="ru-UA" w:eastAsia="ru-UA"/>
        </w:rPr>
        <w:t>).</w:t>
      </w:r>
    </w:p>
    <w:p w14:paraId="1CD14B7B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для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можна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порівняти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із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ІПН для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громадян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України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Відповідно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положень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Постанови, ЄДЕССБ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стає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основою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документообігу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сфері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саме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допомогою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Без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наявного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в ЄДЕССБ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державний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реєстратор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не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може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провести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відповідну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дію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щодо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такого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24496F19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Серед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переваг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такого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підходу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:</w:t>
      </w:r>
    </w:p>
    <w:p w14:paraId="3037DB83" w14:textId="77777777" w:rsidR="00CC4879" w:rsidRPr="00CC4879" w:rsidRDefault="00CC4879" w:rsidP="00CC4879">
      <w:pPr>
        <w:numPr>
          <w:ilvl w:val="0"/>
          <w:numId w:val="3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прозорість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процесу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69ED0ABA" w14:textId="77777777" w:rsidR="00CC4879" w:rsidRPr="00CC4879" w:rsidRDefault="00CC4879" w:rsidP="00CC4879">
      <w:pPr>
        <w:numPr>
          <w:ilvl w:val="0"/>
          <w:numId w:val="3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взаємозв’язок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(ЄДЕССБ та Державного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речових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прав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майно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, ДРРП);</w:t>
      </w:r>
    </w:p>
    <w:p w14:paraId="45C16F1E" w14:textId="77777777" w:rsidR="00CC4879" w:rsidRPr="00CC4879" w:rsidRDefault="00CC4879" w:rsidP="00CC4879">
      <w:pPr>
        <w:numPr>
          <w:ilvl w:val="0"/>
          <w:numId w:val="3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виключення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ризиків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втручання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третіх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осіб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незаконних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реєстрацій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реєстрацій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неіснуючих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тощо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);</w:t>
      </w:r>
    </w:p>
    <w:p w14:paraId="28D09ACE" w14:textId="77777777" w:rsidR="00CC4879" w:rsidRPr="00CC4879" w:rsidRDefault="00CC4879" w:rsidP="00CC4879">
      <w:pPr>
        <w:numPr>
          <w:ilvl w:val="0"/>
          <w:numId w:val="3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спрощення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процедури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об'єкта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основні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реєстратор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отримає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саме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 ЄДЕССБ).</w:t>
      </w:r>
    </w:p>
    <w:p w14:paraId="65CFA08F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Порядок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запровадив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перелік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щодо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проводиться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До такого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майна, на яке за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її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результатами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виготовляються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інвентаризаційні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справи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матеріали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і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паспорти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далі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—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майна), належать:</w:t>
      </w:r>
    </w:p>
    <w:p w14:paraId="694F71FA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1)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житлові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будинки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квартирного типу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різної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поверховості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житловий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комплекс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гуртожитку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27D47078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2)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квартири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1BEB6D9C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3)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жилі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кімнати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жилі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блоки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жилі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секції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гуртожитках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кімнати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багатосімейних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комунальних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) квартирах;</w:t>
      </w:r>
    </w:p>
    <w:p w14:paraId="31D8AE1F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4)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житлові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будинки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садибного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типу;</w:t>
      </w:r>
    </w:p>
    <w:p w14:paraId="609CBACB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lastRenderedPageBreak/>
        <w:t xml:space="preserve">5)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виробничі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і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споруди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громадського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виробничого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зокрема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сільськогосподарського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призначення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їх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комплекси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77B6EE49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6)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нежитлові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приміщення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групи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нежитлових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приміщень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є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самостійним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об’єктом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майна;</w:t>
      </w:r>
    </w:p>
    <w:p w14:paraId="3FE05FFB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7)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садові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дачні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будинки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1DCEE498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8)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гаражі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паркінги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машино-місця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є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самостійним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об’єктом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майна;</w:t>
      </w:r>
    </w:p>
    <w:p w14:paraId="25246ED7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9)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захисні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споруди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цивільного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захисту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далі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-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захисні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споруди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)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споруди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подвійного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призначення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із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захисними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властивостями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захисних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споруд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далі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-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споруди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подвійного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призначення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);</w:t>
      </w:r>
    </w:p>
    <w:p w14:paraId="01BCFCDC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10)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багатофункціональні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для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тримання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засуджених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осіб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узятих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варту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(блочного,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казарменого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камерного типу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установ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виконання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покарань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слідчих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ізоляторів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);</w:t>
      </w:r>
    </w:p>
    <w:p w14:paraId="4A3D33BA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11)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незавершеного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щодо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набуто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право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виконання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робіт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28F63C11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12)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господарські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не є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приналежністю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садибного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дачного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або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садового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будинку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096B2C53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13)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інженерні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споруди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лінійні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інженерно-транспортної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інфраструктури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6F901EF3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14)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утворилися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внаслідок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поділу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об’єднання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або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виділення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частки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крім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випадків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коли за результатами такого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поділу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об’єднання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або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виділення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частки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шляхом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реконструкції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закінчений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будівництвом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приймався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в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експлуатацію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07005654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Постанова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передбачає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таку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класифікацію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процедур:</w:t>
      </w:r>
    </w:p>
    <w:p w14:paraId="32FC8658" w14:textId="77777777" w:rsidR="00CC4879" w:rsidRPr="00CC4879" w:rsidRDefault="00CC4879" w:rsidP="00CC4879">
      <w:pPr>
        <w:numPr>
          <w:ilvl w:val="0"/>
          <w:numId w:val="4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Первинна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Стосується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нових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споруд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1CBAAFCB" w14:textId="77777777" w:rsidR="00CC4879" w:rsidRPr="00CC4879" w:rsidRDefault="00CC4879" w:rsidP="00CC4879">
      <w:pPr>
        <w:numPr>
          <w:ilvl w:val="0"/>
          <w:numId w:val="4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lastRenderedPageBreak/>
        <w:t xml:space="preserve">Повторна.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Реалізується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разі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коригування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в характеристиках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40F6BFB6" w14:textId="77777777" w:rsidR="00CC4879" w:rsidRPr="00CC4879" w:rsidRDefault="00CC4879" w:rsidP="00CC4879">
      <w:pPr>
        <w:numPr>
          <w:ilvl w:val="0"/>
          <w:numId w:val="4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випадках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передбачених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Законом “Про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регулювання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містобудівної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діяльності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”, в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ході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 проводиться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обстеження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про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робиться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відмітка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технічному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паспорті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55256F19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Послідовність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робіт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наступна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:</w:t>
      </w:r>
    </w:p>
    <w:p w14:paraId="182404F3" w14:textId="77777777" w:rsidR="00CC4879" w:rsidRPr="00CC4879" w:rsidRDefault="00CC4879" w:rsidP="00CC4879">
      <w:pPr>
        <w:numPr>
          <w:ilvl w:val="0"/>
          <w:numId w:val="5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підготовка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38DEA336" w14:textId="77777777" w:rsidR="00CC4879" w:rsidRPr="00CC4879" w:rsidRDefault="00CC4879" w:rsidP="00CC4879">
      <w:pPr>
        <w:numPr>
          <w:ilvl w:val="0"/>
          <w:numId w:val="5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виїзд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безпосередньо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для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обстеження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50282CA7" w14:textId="77777777" w:rsidR="00CC4879" w:rsidRPr="00CC4879" w:rsidRDefault="00CC4879" w:rsidP="00CC4879">
      <w:pPr>
        <w:numPr>
          <w:ilvl w:val="0"/>
          <w:numId w:val="5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вимірювальних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робіт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3045DAEF" w14:textId="77777777" w:rsidR="00CC4879" w:rsidRPr="00CC4879" w:rsidRDefault="00CC4879" w:rsidP="00CC4879">
      <w:pPr>
        <w:numPr>
          <w:ilvl w:val="0"/>
          <w:numId w:val="5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визначення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конструктивних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елементів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02ECDB9E" w14:textId="77777777" w:rsidR="00CC4879" w:rsidRPr="00CC4879" w:rsidRDefault="00CC4879" w:rsidP="00CC4879">
      <w:pPr>
        <w:numPr>
          <w:ilvl w:val="0"/>
          <w:numId w:val="5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оформлення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результатів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53B1F93D" w14:textId="77777777" w:rsidR="00CC4879" w:rsidRPr="00CC4879" w:rsidRDefault="00CC4879" w:rsidP="00CC4879">
      <w:pPr>
        <w:numPr>
          <w:ilvl w:val="0"/>
          <w:numId w:val="5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внесення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даних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діяльності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6DB385E2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Важливе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нововведення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:  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час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буде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встановлено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було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виконано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роботи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без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дотримання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вимог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законодавства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сфері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наприклад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зміна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геометричних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розмірів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функціоналу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тощо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),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виконавець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зобов’язаний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внести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відповідні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діяльності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при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розробленні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паспорта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).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такі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відмітки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вже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можуть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реагувати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органи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місцевого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архітектурно-будівельного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контролю -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здійснювати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підставі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даних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ЄДЕССБ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перевірки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виносити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приписи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про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усунення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порушень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і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навіть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штрафувати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1B240F16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раніше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паспорт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окрім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інвентаризатора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замовника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ніхто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не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бачив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можливо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реєстратор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), то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тепер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треба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уважно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подумати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: яка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саме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мета повинна бути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досягнута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допомогою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нової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чи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не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викличе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більші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проблеми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майбутньому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51638CB1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lastRenderedPageBreak/>
        <w:t>Крім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того, порядком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передбачено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інвентаризаційні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справи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матеріали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створені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впровадження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ЄДЕССБ, також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підлягають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внесенню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системи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мають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займатися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фізичні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особи-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підприємці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юридичні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особи,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проводять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з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обов’язковим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присвоєнням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вносяться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73194A00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Контракти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виконання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робіт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паперовому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носії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ксерокопії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документів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матеріали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зберігаються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підприємстві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моменту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внесення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їх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електронних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версій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системи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проте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не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менше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10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років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дати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2C38CAD4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Отже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за результатом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заводиться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інвентаризаційна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справа.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Відповідно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вимог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Постанови, вона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формується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і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ведеться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кожен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 на весь час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його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існування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використанням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ЄДЕССБ в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електронній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формі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та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лише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паперовій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-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містить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відомості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становлять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державну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таємницю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відповідно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до закону.</w:t>
      </w:r>
    </w:p>
    <w:p w14:paraId="19C9DEFD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Складовими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частинами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інвентаризаційної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справи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є:</w:t>
      </w:r>
    </w:p>
    <w:p w14:paraId="707C5DAF" w14:textId="77777777" w:rsidR="00CC4879" w:rsidRPr="00CC4879" w:rsidRDefault="00CC4879" w:rsidP="00CC4879">
      <w:pPr>
        <w:numPr>
          <w:ilvl w:val="0"/>
          <w:numId w:val="6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закінченого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будівництвом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) в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Єдиній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державній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електронній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системі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сфері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будівництва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для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нерухомого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майна,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якому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присвоєно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такий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(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далі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-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);</w:t>
      </w:r>
    </w:p>
    <w:p w14:paraId="6E22F13E" w14:textId="77777777" w:rsidR="00CC4879" w:rsidRPr="00CC4879" w:rsidRDefault="00CC4879" w:rsidP="00CC4879">
      <w:pPr>
        <w:numPr>
          <w:ilvl w:val="0"/>
          <w:numId w:val="6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опис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інвентаризаційної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справи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з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обов’язковим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зазначенням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ідентифікатора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об’єкта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;</w:t>
      </w:r>
    </w:p>
    <w:p w14:paraId="4D8DBC4D" w14:textId="77777777" w:rsidR="00CC4879" w:rsidRPr="00CC4879" w:rsidRDefault="00CC4879" w:rsidP="00CC4879">
      <w:pPr>
        <w:numPr>
          <w:ilvl w:val="0"/>
          <w:numId w:val="6"/>
        </w:numPr>
        <w:spacing w:after="405" w:line="240" w:lineRule="auto"/>
        <w:ind w:left="1095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матеріали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технічної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517DBBA6" w14:textId="77777777" w:rsidR="00CC4879" w:rsidRPr="00CC4879" w:rsidRDefault="00CC4879" w:rsidP="00CC4879">
      <w:pPr>
        <w:spacing w:after="405" w:line="240" w:lineRule="auto"/>
        <w:jc w:val="both"/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</w:pP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Підсумовуючи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хочу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зазначити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: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новий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порядок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проведення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техінвентаризації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не є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чимось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надто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революційним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. Але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він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чітко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демонструє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всім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учасникам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ринку,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що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вектор руху, за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яким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кілька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років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тому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розпочалось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впорядкування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будівельної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сфери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України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,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залишається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незмінним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і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йде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у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напрямку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максимальної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цифровізації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всіх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 xml:space="preserve"> </w:t>
      </w:r>
      <w:proofErr w:type="spellStart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процесів</w:t>
      </w:r>
      <w:proofErr w:type="spellEnd"/>
      <w:r w:rsidRPr="00CC4879">
        <w:rPr>
          <w:rFonts w:ascii="Gotham Pro" w:eastAsia="Times New Roman" w:hAnsi="Gotham Pro" w:cs="Gotham Pro"/>
          <w:color w:val="2E2E2E"/>
          <w:sz w:val="26"/>
          <w:szCs w:val="26"/>
          <w:lang w:val="ru-UA" w:eastAsia="ru-UA"/>
        </w:rPr>
        <w:t>.</w:t>
      </w:r>
    </w:p>
    <w:p w14:paraId="7B9FA72C" w14:textId="77777777" w:rsidR="00CC4879" w:rsidRPr="00CC4879" w:rsidRDefault="00CC4879" w:rsidP="00CC4879">
      <w:pPr>
        <w:spacing w:before="135" w:after="180" w:line="240" w:lineRule="auto"/>
        <w:outlineLvl w:val="0"/>
        <w:rPr>
          <w:rFonts w:ascii="Gotham Pro" w:eastAsia="Times New Roman" w:hAnsi="Gotham Pro" w:cs="Gotham Pro"/>
          <w:i/>
          <w:iCs/>
          <w:color w:val="2E2E2E"/>
          <w:kern w:val="36"/>
          <w:sz w:val="32"/>
          <w:szCs w:val="32"/>
          <w:lang w:val="ru-UA" w:eastAsia="ru-UA"/>
        </w:rPr>
      </w:pPr>
    </w:p>
    <w:p w14:paraId="2FEE21C3" w14:textId="47DEF25A" w:rsidR="00211A35" w:rsidRPr="001C061D" w:rsidRDefault="00211A35" w:rsidP="00211A35">
      <w:pPr>
        <w:rPr>
          <w:rFonts w:ascii="Gotham Pro" w:hAnsi="Gotham Pro" w:cs="Gotham Pro"/>
          <w:i/>
          <w:iCs/>
          <w:sz w:val="32"/>
          <w:szCs w:val="32"/>
          <w:lang w:val="ru-RU"/>
        </w:rPr>
      </w:pPr>
      <w:r w:rsidRPr="001C061D">
        <w:rPr>
          <w:rFonts w:ascii="Gotham Pro" w:eastAsia="Times New Roman" w:hAnsi="Gotham Pro" w:cs="Gotham Pro"/>
          <w:i/>
          <w:iCs/>
          <w:color w:val="2D2D2D"/>
          <w:sz w:val="32"/>
          <w:szCs w:val="32"/>
        </w:rPr>
        <w:t>Якщо вам потрібна допомога спеціаліста – звертайтеся</w:t>
      </w:r>
      <w:r w:rsidRPr="001C061D">
        <w:rPr>
          <w:rFonts w:ascii="Gotham Pro" w:hAnsi="Gotham Pro" w:cs="Gotham Pro"/>
          <w:i/>
          <w:iCs/>
          <w:sz w:val="32"/>
          <w:szCs w:val="32"/>
        </w:rPr>
        <w:t xml:space="preserve"> </w:t>
      </w:r>
      <w:hyperlink r:id="rId7" w:history="1">
        <w:r w:rsidRPr="001C061D">
          <w:rPr>
            <w:rStyle w:val="a9"/>
            <w:rFonts w:ascii="Gotham Pro" w:hAnsi="Gotham Pro" w:cs="Gotham Pro"/>
            <w:i/>
            <w:iCs/>
            <w:sz w:val="32"/>
            <w:szCs w:val="32"/>
          </w:rPr>
          <w:t>https://totum.ua/practices/stroitelstvo-kapitalnye-investiczii/</w:t>
        </w:r>
      </w:hyperlink>
      <w:r w:rsidRPr="001C061D">
        <w:rPr>
          <w:rFonts w:ascii="Gotham Pro" w:hAnsi="Gotham Pro" w:cs="Gotham Pro"/>
          <w:i/>
          <w:iCs/>
          <w:sz w:val="32"/>
          <w:szCs w:val="32"/>
          <w:lang w:val="ru-RU"/>
        </w:rPr>
        <w:t xml:space="preserve"> </w:t>
      </w:r>
    </w:p>
    <w:p w14:paraId="1C4B1D4A" w14:textId="77777777" w:rsidR="00227719" w:rsidRPr="00CC4879" w:rsidRDefault="00227719" w:rsidP="00227719">
      <w:pPr>
        <w:spacing w:after="0" w:line="240" w:lineRule="auto"/>
        <w:rPr>
          <w:rFonts w:ascii="Gotham Pro" w:eastAsia="Times New Roman" w:hAnsi="Gotham Pro" w:cs="Gotham Pro"/>
          <w:b/>
          <w:sz w:val="24"/>
          <w:szCs w:val="24"/>
          <w:lang w:val="ru-RU"/>
        </w:rPr>
      </w:pPr>
    </w:p>
    <w:sectPr w:rsidR="00227719" w:rsidRPr="00CC4879" w:rsidSect="00646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3" w:bottom="850" w:left="993" w:header="709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49BF" w14:textId="77777777" w:rsidR="00A236E3" w:rsidRDefault="00A236E3" w:rsidP="00E555EC">
      <w:pPr>
        <w:spacing w:after="0" w:line="240" w:lineRule="auto"/>
      </w:pPr>
      <w:r>
        <w:separator/>
      </w:r>
    </w:p>
  </w:endnote>
  <w:endnote w:type="continuationSeparator" w:id="0">
    <w:p w14:paraId="3CD57E2F" w14:textId="77777777" w:rsidR="00A236E3" w:rsidRDefault="00A236E3" w:rsidP="00E5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Calibri"/>
    <w:charset w:val="CC"/>
    <w:family w:val="auto"/>
    <w:pitch w:val="variable"/>
    <w:sig w:usb0="80000AAF" w:usb1="5000204A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52FB" w14:textId="77777777" w:rsidR="002B119B" w:rsidRDefault="002B11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8683" w14:textId="77777777" w:rsidR="00705E54" w:rsidRPr="00870313" w:rsidRDefault="00680987" w:rsidP="004C76CB">
    <w:pPr>
      <w:spacing w:after="0" w:line="312" w:lineRule="auto"/>
      <w:rPr>
        <w:noProof/>
        <w:sz w:val="21"/>
        <w:szCs w:val="21"/>
        <w:lang w:val="ru-RU" w:eastAsia="uk-UA"/>
      </w:rPr>
    </w:pPr>
    <w:r>
      <w:rPr>
        <w:rFonts w:asciiTheme="majorHAnsi" w:eastAsia="Times New Roman" w:hAnsiTheme="majorHAnsi" w:cstheme="minorHAnsi"/>
        <w:color w:val="1D2129"/>
        <w:sz w:val="20"/>
        <w:szCs w:val="20"/>
        <w:lang w:eastAsia="uk-UA"/>
      </w:rPr>
      <w:t xml:space="preserve">                                                                                                    </w:t>
    </w:r>
  </w:p>
  <w:p w14:paraId="07B43293" w14:textId="77777777" w:rsidR="00705E54" w:rsidRDefault="00705E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0685" w14:textId="77777777" w:rsidR="002B119B" w:rsidRDefault="002B11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FF0A" w14:textId="77777777" w:rsidR="00A236E3" w:rsidRDefault="00A236E3" w:rsidP="00E555EC">
      <w:pPr>
        <w:spacing w:after="0" w:line="240" w:lineRule="auto"/>
      </w:pPr>
      <w:r>
        <w:separator/>
      </w:r>
    </w:p>
  </w:footnote>
  <w:footnote w:type="continuationSeparator" w:id="0">
    <w:p w14:paraId="0760E955" w14:textId="77777777" w:rsidR="00A236E3" w:rsidRDefault="00A236E3" w:rsidP="00E5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8A4C" w14:textId="77777777" w:rsidR="002B119B" w:rsidRDefault="002B11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AE74" w14:textId="77777777" w:rsidR="00705E54" w:rsidRPr="0047069B" w:rsidRDefault="009B3DA0" w:rsidP="00705E54">
    <w:pPr>
      <w:shd w:val="clear" w:color="auto" w:fill="FFFFFF"/>
      <w:spacing w:after="0" w:line="240" w:lineRule="auto"/>
      <w:ind w:left="2410"/>
      <w:rPr>
        <w:rFonts w:asciiTheme="majorHAnsi" w:eastAsia="Times New Roman" w:hAnsiTheme="majorHAnsi" w:cstheme="minorHAnsi"/>
        <w:color w:val="1D2129"/>
        <w:sz w:val="20"/>
        <w:szCs w:val="20"/>
        <w:lang w:val="en-US" w:eastAsia="uk-UA"/>
      </w:rPr>
    </w:pPr>
    <w:r>
      <w:rPr>
        <w:rFonts w:asciiTheme="majorHAnsi" w:eastAsia="Times New Roman" w:hAnsiTheme="majorHAnsi" w:cstheme="minorHAnsi"/>
        <w:noProof/>
        <w:color w:val="1D2129"/>
        <w:sz w:val="20"/>
        <w:szCs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4E2FFC54" wp14:editId="21F0081F">
          <wp:simplePos x="0" y="0"/>
          <wp:positionH relativeFrom="column">
            <wp:posOffset>-630555</wp:posOffset>
          </wp:positionH>
          <wp:positionV relativeFrom="paragraph">
            <wp:posOffset>-450215</wp:posOffset>
          </wp:positionV>
          <wp:extent cx="7559999" cy="10693741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26E88" w14:textId="77777777" w:rsidR="00E555EC" w:rsidRPr="00705E54" w:rsidRDefault="0047069B" w:rsidP="00705E54">
    <w:pPr>
      <w:spacing w:line="240" w:lineRule="auto"/>
      <w:ind w:left="3828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val="ru-RU" w:eastAsia="ru-RU"/>
      </w:rPr>
      <w:drawing>
        <wp:inline distT="0" distB="0" distL="0" distR="0" wp14:anchorId="10744C6E" wp14:editId="58A4D028">
          <wp:extent cx="5615305" cy="8555990"/>
          <wp:effectExtent l="0" t="0" r="444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305" cy="855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C0E8" w14:textId="77777777" w:rsidR="002B119B" w:rsidRDefault="002B11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EAE"/>
    <w:multiLevelType w:val="hybridMultilevel"/>
    <w:tmpl w:val="A66E4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488C"/>
    <w:multiLevelType w:val="multilevel"/>
    <w:tmpl w:val="B966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E6A48"/>
    <w:multiLevelType w:val="multilevel"/>
    <w:tmpl w:val="3C6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26588C"/>
    <w:multiLevelType w:val="multilevel"/>
    <w:tmpl w:val="577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54DB3"/>
    <w:multiLevelType w:val="multilevel"/>
    <w:tmpl w:val="3E7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A60209"/>
    <w:multiLevelType w:val="multilevel"/>
    <w:tmpl w:val="81D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718551">
    <w:abstractNumId w:val="0"/>
  </w:num>
  <w:num w:numId="2" w16cid:durableId="1804541893">
    <w:abstractNumId w:val="4"/>
  </w:num>
  <w:num w:numId="3" w16cid:durableId="2116172239">
    <w:abstractNumId w:val="2"/>
  </w:num>
  <w:num w:numId="4" w16cid:durableId="1780954850">
    <w:abstractNumId w:val="1"/>
  </w:num>
  <w:num w:numId="5" w16cid:durableId="779451981">
    <w:abstractNumId w:val="5"/>
  </w:num>
  <w:num w:numId="6" w16cid:durableId="402021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C39"/>
    <w:rsid w:val="00022329"/>
    <w:rsid w:val="000E6887"/>
    <w:rsid w:val="0011224D"/>
    <w:rsid w:val="00127B07"/>
    <w:rsid w:val="001C061D"/>
    <w:rsid w:val="001E5E6F"/>
    <w:rsid w:val="00203C72"/>
    <w:rsid w:val="00211A35"/>
    <w:rsid w:val="00227719"/>
    <w:rsid w:val="00236239"/>
    <w:rsid w:val="002B119B"/>
    <w:rsid w:val="002C0F1C"/>
    <w:rsid w:val="0031768E"/>
    <w:rsid w:val="00337AF7"/>
    <w:rsid w:val="0035166E"/>
    <w:rsid w:val="00377366"/>
    <w:rsid w:val="003E40B5"/>
    <w:rsid w:val="003F0737"/>
    <w:rsid w:val="0043514D"/>
    <w:rsid w:val="0047069B"/>
    <w:rsid w:val="004759FF"/>
    <w:rsid w:val="004C76CB"/>
    <w:rsid w:val="004F3C39"/>
    <w:rsid w:val="00585953"/>
    <w:rsid w:val="00623C7E"/>
    <w:rsid w:val="0062651E"/>
    <w:rsid w:val="00631CBA"/>
    <w:rsid w:val="00646B0C"/>
    <w:rsid w:val="00680987"/>
    <w:rsid w:val="006E1641"/>
    <w:rsid w:val="006F69D5"/>
    <w:rsid w:val="00705E54"/>
    <w:rsid w:val="00732658"/>
    <w:rsid w:val="007D60BE"/>
    <w:rsid w:val="00863393"/>
    <w:rsid w:val="00870313"/>
    <w:rsid w:val="009A47CC"/>
    <w:rsid w:val="009B3DA0"/>
    <w:rsid w:val="009C080E"/>
    <w:rsid w:val="00A2213A"/>
    <w:rsid w:val="00A236E3"/>
    <w:rsid w:val="00A64918"/>
    <w:rsid w:val="00AF010C"/>
    <w:rsid w:val="00CC4879"/>
    <w:rsid w:val="00CE355D"/>
    <w:rsid w:val="00D266FE"/>
    <w:rsid w:val="00D759DD"/>
    <w:rsid w:val="00E012AB"/>
    <w:rsid w:val="00E12D92"/>
    <w:rsid w:val="00E27C76"/>
    <w:rsid w:val="00E555EC"/>
    <w:rsid w:val="00E7322C"/>
    <w:rsid w:val="00EF49DD"/>
    <w:rsid w:val="00F45FB5"/>
    <w:rsid w:val="00F82E47"/>
    <w:rsid w:val="00F922DE"/>
    <w:rsid w:val="00FC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E06ED"/>
  <w15:docId w15:val="{A80594F1-6E48-4354-BF33-B4C975B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36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5EC"/>
  </w:style>
  <w:style w:type="paragraph" w:styleId="a5">
    <w:name w:val="footer"/>
    <w:basedOn w:val="a"/>
    <w:link w:val="a6"/>
    <w:uiPriority w:val="99"/>
    <w:unhideWhenUsed/>
    <w:rsid w:val="00E555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5EC"/>
  </w:style>
  <w:style w:type="paragraph" w:styleId="a7">
    <w:name w:val="Balloon Text"/>
    <w:basedOn w:val="a"/>
    <w:link w:val="a8"/>
    <w:uiPriority w:val="99"/>
    <w:semiHidden/>
    <w:unhideWhenUsed/>
    <w:rsid w:val="00E5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5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555E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1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31768E"/>
    <w:rPr>
      <w:b/>
      <w:bCs/>
    </w:rPr>
  </w:style>
  <w:style w:type="paragraph" w:styleId="ac">
    <w:name w:val="List Paragraph"/>
    <w:basedOn w:val="a"/>
    <w:uiPriority w:val="34"/>
    <w:qFormat/>
    <w:rsid w:val="00227719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styleId="ad">
    <w:name w:val="No Spacing"/>
    <w:uiPriority w:val="1"/>
    <w:qFormat/>
    <w:rsid w:val="002277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7736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ru-UA"/>
      <w14:ligatures w14:val="standardContextual"/>
    </w:rPr>
  </w:style>
  <w:style w:type="character" w:styleId="ae">
    <w:name w:val="Emphasis"/>
    <w:basedOn w:val="a0"/>
    <w:uiPriority w:val="20"/>
    <w:qFormat/>
    <w:rsid w:val="00CC4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otum.ua/practices/stroitelstvo-kapitalnye-investiczi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7008</Characters>
  <Application>Microsoft Office Word</Application>
  <DocSecurity>0</DocSecurity>
  <Lines>137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2023-06-02T11:31:00Z</cp:lastPrinted>
  <dcterms:created xsi:type="dcterms:W3CDTF">2023-09-04T10:54:00Z</dcterms:created>
  <dcterms:modified xsi:type="dcterms:W3CDTF">2023-09-04T10:54:00Z</dcterms:modified>
</cp:coreProperties>
</file>